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3D32D" w14:textId="00B017B1" w:rsidR="008A0B4A" w:rsidRDefault="008A0B4A" w:rsidP="008A0B4A">
      <w:pPr>
        <w:spacing w:before="76"/>
        <w:ind w:left="2301" w:right="2289"/>
        <w:jc w:val="center"/>
        <w:rPr>
          <w:b/>
          <w:w w:val="105"/>
          <w:sz w:val="23"/>
        </w:rPr>
      </w:pPr>
      <w:r>
        <w:rPr>
          <w:b/>
          <w:w w:val="105"/>
          <w:sz w:val="23"/>
        </w:rPr>
        <w:t xml:space="preserve">PUC </w:t>
      </w:r>
      <w:r w:rsidR="008C34CE">
        <w:rPr>
          <w:b/>
          <w:w w:val="105"/>
          <w:sz w:val="23"/>
        </w:rPr>
        <w:t>DOCKET</w:t>
      </w:r>
      <w:r>
        <w:rPr>
          <w:b/>
          <w:w w:val="105"/>
          <w:sz w:val="23"/>
        </w:rPr>
        <w:t xml:space="preserve"> NO. 52709</w:t>
      </w:r>
    </w:p>
    <w:p w14:paraId="01494389" w14:textId="77777777" w:rsidR="008A0B4A" w:rsidRDefault="008A0B4A" w:rsidP="008A0B4A">
      <w:pPr>
        <w:spacing w:before="76"/>
        <w:ind w:left="2301" w:right="2289"/>
        <w:jc w:val="center"/>
        <w:rPr>
          <w:b/>
          <w:sz w:val="23"/>
        </w:rPr>
      </w:pPr>
    </w:p>
    <w:p w14:paraId="72B09E9B" w14:textId="77777777" w:rsidR="008A0B4A" w:rsidRDefault="008A0B4A" w:rsidP="008A0B4A">
      <w:pPr>
        <w:pStyle w:val="BodyText"/>
        <w:spacing w:before="4"/>
        <w:rPr>
          <w:b/>
          <w:sz w:val="17"/>
        </w:rPr>
      </w:pPr>
    </w:p>
    <w:tbl>
      <w:tblPr>
        <w:tblW w:w="9586" w:type="dxa"/>
        <w:jc w:val="center"/>
        <w:tblLayout w:type="fixed"/>
        <w:tblLook w:val="0000" w:firstRow="0" w:lastRow="0" w:firstColumn="0" w:lastColumn="0" w:noHBand="0" w:noVBand="0"/>
      </w:tblPr>
      <w:tblGrid>
        <w:gridCol w:w="4523"/>
        <w:gridCol w:w="360"/>
        <w:gridCol w:w="4703"/>
      </w:tblGrid>
      <w:tr w:rsidR="008A0B4A" w:rsidRPr="00A00E58" w14:paraId="17C5104B" w14:textId="77777777" w:rsidTr="00FC46FF">
        <w:trPr>
          <w:trHeight w:val="1467"/>
          <w:jc w:val="center"/>
        </w:trPr>
        <w:tc>
          <w:tcPr>
            <w:tcW w:w="4523" w:type="dxa"/>
          </w:tcPr>
          <w:p w14:paraId="7CC19738" w14:textId="77777777" w:rsidR="008A0B4A" w:rsidRPr="00A00E58" w:rsidRDefault="008A0B4A" w:rsidP="00FC46FF">
            <w:pPr>
              <w:tabs>
                <w:tab w:val="left" w:pos="4680"/>
              </w:tabs>
              <w:rPr>
                <w:b/>
                <w:caps/>
                <w:color w:val="000000"/>
                <w:sz w:val="24"/>
                <w:szCs w:val="24"/>
              </w:rPr>
            </w:pPr>
            <w:r w:rsidRPr="00591352">
              <w:rPr>
                <w:b/>
                <w:caps/>
                <w:sz w:val="24"/>
                <w:szCs w:val="24"/>
              </w:rPr>
              <w:t>Compliance Filing for Docket No. 523</w:t>
            </w:r>
            <w:r w:rsidRPr="002F12F0">
              <w:rPr>
                <w:b/>
                <w:caps/>
                <w:sz w:val="24"/>
                <w:szCs w:val="24"/>
              </w:rPr>
              <w:t>21 (Application of</w:t>
            </w:r>
            <w:r w:rsidRPr="000F2CB5">
              <w:rPr>
                <w:b/>
                <w:caps/>
                <w:sz w:val="24"/>
                <w:szCs w:val="24"/>
              </w:rPr>
              <w:t xml:space="preserve"> </w:t>
            </w:r>
            <w:r w:rsidRPr="00485918">
              <w:rPr>
                <w:b/>
                <w:caps/>
                <w:sz w:val="24"/>
                <w:szCs w:val="24"/>
              </w:rPr>
              <w:t>Electric Reliability Council of Texas, Inc. for a Debt</w:t>
            </w:r>
            <w:r w:rsidRPr="00A00E58">
              <w:rPr>
                <w:b/>
                <w:caps/>
                <w:sz w:val="24"/>
                <w:szCs w:val="24"/>
              </w:rPr>
              <w:t xml:space="preserve"> Obligation Order Pursuant to Chapter 39, Subchapter M, of the Public Utility Regulatory Act)</w:t>
            </w:r>
          </w:p>
        </w:tc>
        <w:tc>
          <w:tcPr>
            <w:tcW w:w="360" w:type="dxa"/>
          </w:tcPr>
          <w:p w14:paraId="29D32EEA" w14:textId="77777777" w:rsidR="008A0B4A" w:rsidRPr="00A00E58" w:rsidRDefault="008A0B4A" w:rsidP="00FC46F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00E58">
              <w:rPr>
                <w:b/>
                <w:color w:val="000000"/>
                <w:sz w:val="24"/>
                <w:szCs w:val="24"/>
              </w:rPr>
              <w:t>§</w:t>
            </w:r>
          </w:p>
          <w:p w14:paraId="25BB8C52" w14:textId="77777777" w:rsidR="008A0B4A" w:rsidRPr="00A00E58" w:rsidRDefault="008A0B4A" w:rsidP="00FC46F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00E58">
              <w:rPr>
                <w:b/>
                <w:color w:val="000000"/>
                <w:sz w:val="24"/>
                <w:szCs w:val="24"/>
              </w:rPr>
              <w:t>§</w:t>
            </w:r>
          </w:p>
          <w:p w14:paraId="2702D9F1" w14:textId="77777777" w:rsidR="008A0B4A" w:rsidRPr="00A00E58" w:rsidRDefault="008A0B4A" w:rsidP="00FC46F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00E58">
              <w:rPr>
                <w:b/>
                <w:color w:val="000000"/>
                <w:sz w:val="24"/>
                <w:szCs w:val="24"/>
              </w:rPr>
              <w:t>§</w:t>
            </w:r>
          </w:p>
          <w:p w14:paraId="336FB636" w14:textId="77777777" w:rsidR="008A0B4A" w:rsidRPr="00A00E58" w:rsidRDefault="008A0B4A" w:rsidP="00FC46F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00E58">
              <w:rPr>
                <w:b/>
                <w:color w:val="000000"/>
                <w:sz w:val="24"/>
                <w:szCs w:val="24"/>
              </w:rPr>
              <w:t>§</w:t>
            </w:r>
            <w:r>
              <w:rPr>
                <w:b/>
                <w:color w:val="000000"/>
                <w:sz w:val="24"/>
                <w:szCs w:val="24"/>
              </w:rPr>
              <w:t>§§§§</w:t>
            </w:r>
          </w:p>
          <w:p w14:paraId="5FAE1047" w14:textId="77777777" w:rsidR="008A0B4A" w:rsidRPr="00A00E58" w:rsidRDefault="008A0B4A" w:rsidP="00FC46F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</w:tcPr>
          <w:p w14:paraId="33B36BC1" w14:textId="77777777" w:rsidR="008A0B4A" w:rsidRPr="00A00E58" w:rsidRDefault="008A0B4A" w:rsidP="00FC46FF">
            <w:pPr>
              <w:tabs>
                <w:tab w:val="left" w:pos="4680"/>
              </w:tabs>
              <w:jc w:val="center"/>
              <w:rPr>
                <w:b/>
                <w:caps/>
                <w:color w:val="000000"/>
                <w:sz w:val="24"/>
                <w:szCs w:val="24"/>
              </w:rPr>
            </w:pPr>
            <w:r w:rsidRPr="00A00E58">
              <w:rPr>
                <w:b/>
                <w:caps/>
                <w:color w:val="000000"/>
                <w:sz w:val="24"/>
                <w:szCs w:val="24"/>
              </w:rPr>
              <w:t>PUBLIC UTILITY COMMISSION</w:t>
            </w:r>
          </w:p>
          <w:p w14:paraId="05399D8A" w14:textId="77777777" w:rsidR="008A0B4A" w:rsidRPr="00A00E58" w:rsidRDefault="008A0B4A" w:rsidP="00FC46FF">
            <w:pPr>
              <w:tabs>
                <w:tab w:val="left" w:pos="4680"/>
              </w:tabs>
              <w:jc w:val="center"/>
              <w:rPr>
                <w:b/>
                <w:caps/>
                <w:color w:val="000000"/>
                <w:sz w:val="24"/>
                <w:szCs w:val="24"/>
              </w:rPr>
            </w:pPr>
          </w:p>
          <w:p w14:paraId="0E5D631E" w14:textId="77777777" w:rsidR="008A0B4A" w:rsidRPr="00A00E58" w:rsidRDefault="008A0B4A" w:rsidP="00FC46FF">
            <w:pPr>
              <w:tabs>
                <w:tab w:val="left" w:pos="4680"/>
              </w:tabs>
              <w:jc w:val="center"/>
              <w:rPr>
                <w:b/>
                <w:caps/>
                <w:color w:val="000000"/>
                <w:sz w:val="24"/>
                <w:szCs w:val="24"/>
              </w:rPr>
            </w:pPr>
          </w:p>
          <w:p w14:paraId="2FB04147" w14:textId="77777777" w:rsidR="008A0B4A" w:rsidRPr="00A00E58" w:rsidRDefault="008A0B4A" w:rsidP="00FC46FF">
            <w:pPr>
              <w:tabs>
                <w:tab w:val="left" w:pos="4680"/>
              </w:tabs>
              <w:jc w:val="center"/>
              <w:rPr>
                <w:b/>
                <w:caps/>
                <w:color w:val="000000"/>
                <w:sz w:val="24"/>
                <w:szCs w:val="24"/>
              </w:rPr>
            </w:pPr>
            <w:r w:rsidRPr="00A00E58">
              <w:rPr>
                <w:b/>
                <w:caps/>
                <w:color w:val="000000"/>
                <w:sz w:val="24"/>
                <w:szCs w:val="24"/>
              </w:rPr>
              <w:t>OF TEXAS</w:t>
            </w:r>
          </w:p>
        </w:tc>
      </w:tr>
    </w:tbl>
    <w:p w14:paraId="7E0EDC5E" w14:textId="61951288" w:rsidR="00B95F50" w:rsidRDefault="0068358A">
      <w:pPr>
        <w:spacing w:before="224"/>
        <w:ind w:left="3116" w:right="3233"/>
        <w:jc w:val="center"/>
        <w:rPr>
          <w:b/>
          <w:sz w:val="23"/>
        </w:rPr>
      </w:pPr>
      <w:r>
        <w:rPr>
          <w:b/>
          <w:spacing w:val="-1"/>
          <w:w w:val="105"/>
          <w:sz w:val="23"/>
        </w:rPr>
        <w:t xml:space="preserve">PROPOSED </w:t>
      </w:r>
      <w:r w:rsidR="00E2385C">
        <w:rPr>
          <w:b/>
          <w:spacing w:val="-1"/>
          <w:w w:val="105"/>
          <w:sz w:val="23"/>
        </w:rPr>
        <w:t>NOTICE</w:t>
      </w:r>
      <w:r w:rsidR="00E2385C">
        <w:rPr>
          <w:b/>
          <w:spacing w:val="-3"/>
          <w:w w:val="105"/>
          <w:sz w:val="23"/>
        </w:rPr>
        <w:t xml:space="preserve"> </w:t>
      </w:r>
      <w:r w:rsidR="00E2385C">
        <w:rPr>
          <w:b/>
          <w:spacing w:val="-1"/>
          <w:w w:val="105"/>
          <w:sz w:val="23"/>
        </w:rPr>
        <w:t>OF</w:t>
      </w:r>
      <w:r w:rsidR="00E2385C">
        <w:rPr>
          <w:b/>
          <w:spacing w:val="-13"/>
          <w:w w:val="105"/>
          <w:sz w:val="23"/>
        </w:rPr>
        <w:t xml:space="preserve"> </w:t>
      </w:r>
      <w:r w:rsidR="00E2385C">
        <w:rPr>
          <w:b/>
          <w:spacing w:val="-1"/>
          <w:w w:val="105"/>
          <w:sz w:val="23"/>
        </w:rPr>
        <w:t>APPROVAL</w:t>
      </w:r>
    </w:p>
    <w:p w14:paraId="1B28FB29" w14:textId="77777777" w:rsidR="00B95F50" w:rsidRDefault="00B95F50">
      <w:pPr>
        <w:pStyle w:val="BodyText"/>
        <w:spacing w:before="2"/>
        <w:rPr>
          <w:b/>
          <w:sz w:val="32"/>
        </w:rPr>
      </w:pPr>
    </w:p>
    <w:p w14:paraId="0E3814DC" w14:textId="2BBE9658" w:rsidR="00B95F50" w:rsidRDefault="00E2385C">
      <w:pPr>
        <w:pStyle w:val="BodyText"/>
        <w:spacing w:line="376" w:lineRule="auto"/>
        <w:ind w:left="118" w:right="228" w:firstLine="727"/>
        <w:jc w:val="both"/>
      </w:pPr>
      <w:r>
        <w:t>This</w:t>
      </w:r>
      <w:r>
        <w:rPr>
          <w:spacing w:val="1"/>
        </w:rPr>
        <w:t xml:space="preserve"> </w:t>
      </w:r>
      <w:r>
        <w:t>Notice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Approval</w:t>
      </w:r>
      <w:r>
        <w:rPr>
          <w:spacing w:val="1"/>
        </w:rPr>
        <w:t xml:space="preserve"> </w:t>
      </w:r>
      <w:r>
        <w:t>addresses</w:t>
      </w:r>
      <w:r>
        <w:rPr>
          <w:spacing w:val="1"/>
        </w:rPr>
        <w:t xml:space="preserve"> </w:t>
      </w:r>
      <w:bookmarkStart w:id="0" w:name="_Hlk103689941"/>
      <w:r w:rsidR="008C34CE">
        <w:rPr>
          <w:spacing w:val="1"/>
        </w:rPr>
        <w:t xml:space="preserve">the </w:t>
      </w:r>
      <w:r w:rsidR="008A0B4A">
        <w:rPr>
          <w:w w:val="105"/>
        </w:rPr>
        <w:t>Electric Reliability Council of Texas, Inc</w:t>
      </w:r>
      <w:r w:rsidR="008C34CE">
        <w:rPr>
          <w:w w:val="105"/>
        </w:rPr>
        <w:t>.</w:t>
      </w:r>
      <w:r w:rsidR="008A0B4A">
        <w:rPr>
          <w:w w:val="105"/>
        </w:rPr>
        <w:t xml:space="preserve"> (ERCOT) six-month initial interim true-up compliance filing, report of recoveries, and notice of default charge adjustment (Compliance Filing)</w:t>
      </w:r>
      <w:r w:rsidR="00141EDF">
        <w:rPr>
          <w:w w:val="105"/>
        </w:rPr>
        <w:t>,</w:t>
      </w:r>
      <w:r w:rsidR="008A0B4A">
        <w:rPr>
          <w:w w:val="105"/>
        </w:rPr>
        <w:t xml:space="preserve"> </w:t>
      </w:r>
      <w:r w:rsidR="008C34CE">
        <w:rPr>
          <w:w w:val="105"/>
        </w:rPr>
        <w:t>filed</w:t>
      </w:r>
      <w:r w:rsidR="00141EDF">
        <w:rPr>
          <w:w w:val="105"/>
        </w:rPr>
        <w:t xml:space="preserve"> on </w:t>
      </w:r>
      <w:r w:rsidR="00141EDF">
        <w:rPr>
          <w:w w:val="105"/>
        </w:rPr>
        <w:t xml:space="preserve">May 12, 2022, </w:t>
      </w:r>
      <w:r w:rsidR="008C34CE">
        <w:rPr>
          <w:w w:val="105"/>
        </w:rPr>
        <w:t xml:space="preserve">to </w:t>
      </w:r>
      <w:r>
        <w:rPr>
          <w:w w:val="105"/>
        </w:rPr>
        <w:t>compl</w:t>
      </w:r>
      <w:r w:rsidR="008C34CE">
        <w:rPr>
          <w:w w:val="105"/>
        </w:rPr>
        <w:t>y</w:t>
      </w:r>
      <w:r>
        <w:rPr>
          <w:w w:val="105"/>
        </w:rPr>
        <w:t xml:space="preserve"> </w:t>
      </w:r>
      <w:r w:rsidR="008A0B4A">
        <w:rPr>
          <w:w w:val="105"/>
        </w:rPr>
        <w:t xml:space="preserve">with the </w:t>
      </w:r>
      <w:r w:rsidR="008C34CE">
        <w:rPr>
          <w:w w:val="105"/>
        </w:rPr>
        <w:t xml:space="preserve">Public Utility Commission of Texas (Commission) </w:t>
      </w:r>
      <w:r w:rsidR="00141EDF">
        <w:rPr>
          <w:w w:val="105"/>
        </w:rPr>
        <w:t xml:space="preserve">Debt Obligation </w:t>
      </w:r>
      <w:r w:rsidR="008A0B4A">
        <w:rPr>
          <w:w w:val="105"/>
        </w:rPr>
        <w:t xml:space="preserve">Order </w:t>
      </w:r>
      <w:r w:rsidR="008C34CE">
        <w:rPr>
          <w:w w:val="105"/>
        </w:rPr>
        <w:t xml:space="preserve">issued </w:t>
      </w:r>
      <w:r w:rsidR="008A0B4A">
        <w:rPr>
          <w:w w:val="105"/>
        </w:rPr>
        <w:t>in Docket No. 52321</w:t>
      </w:r>
      <w:r>
        <w:rPr>
          <w:w w:val="105"/>
        </w:rPr>
        <w:t>.</w:t>
      </w:r>
      <w:r w:rsidR="008A0B4A">
        <w:rPr>
          <w:rStyle w:val="FootnoteReference"/>
          <w:w w:val="105"/>
        </w:rPr>
        <w:footnoteReference w:id="1"/>
      </w:r>
      <w:bookmarkEnd w:id="0"/>
    </w:p>
    <w:p w14:paraId="188501E8" w14:textId="16D759A4" w:rsidR="00B95F50" w:rsidRDefault="00E2385C">
      <w:pPr>
        <w:pStyle w:val="BodyText"/>
        <w:spacing w:before="119" w:line="376" w:lineRule="auto"/>
        <w:ind w:left="118" w:right="223" w:firstLine="726"/>
        <w:jc w:val="both"/>
      </w:pPr>
      <w:r>
        <w:rPr>
          <w:w w:val="105"/>
        </w:rPr>
        <w:t xml:space="preserve">On </w:t>
      </w:r>
      <w:r w:rsidR="008C34CE">
        <w:rPr>
          <w:w w:val="105"/>
        </w:rPr>
        <w:t>May 19</w:t>
      </w:r>
      <w:r>
        <w:rPr>
          <w:w w:val="105"/>
        </w:rPr>
        <w:t xml:space="preserve">, 2022, Commission Staff filed a recommendation in this </w:t>
      </w:r>
      <w:r w:rsidR="008A0B4A">
        <w:rPr>
          <w:w w:val="105"/>
        </w:rPr>
        <w:t>docket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Commission</w:t>
      </w:r>
      <w:r>
        <w:rPr>
          <w:spacing w:val="1"/>
          <w:w w:val="105"/>
        </w:rPr>
        <w:t xml:space="preserve"> </w:t>
      </w:r>
      <w:r>
        <w:rPr>
          <w:w w:val="105"/>
        </w:rPr>
        <w:t>Staff</w:t>
      </w:r>
      <w:r w:rsidR="008A0B4A">
        <w:rPr>
          <w:w w:val="105"/>
        </w:rPr>
        <w:t xml:space="preserve"> </w:t>
      </w:r>
      <w:r w:rsidR="008C34CE">
        <w:rPr>
          <w:w w:val="105"/>
        </w:rPr>
        <w:t>recommend</w:t>
      </w:r>
      <w:r w:rsidR="008A0B4A">
        <w:rPr>
          <w:w w:val="105"/>
        </w:rPr>
        <w:t xml:space="preserve">ed that </w:t>
      </w:r>
      <w:r w:rsidR="008C34CE">
        <w:t xml:space="preserve">ERCOT's </w:t>
      </w:r>
      <w:r w:rsidR="008C34CE">
        <w:t>Compliance</w:t>
      </w:r>
      <w:r w:rsidR="008C34CE">
        <w:t xml:space="preserve"> Filing be found sufficient and complete. </w:t>
      </w:r>
      <w:r w:rsidR="008C34CE">
        <w:t xml:space="preserve">Additionally, </w:t>
      </w:r>
      <w:r w:rsidR="008C34CE">
        <w:t>Commission Staff recommend</w:t>
      </w:r>
      <w:r w:rsidR="008C34CE">
        <w:t>ed</w:t>
      </w:r>
      <w:r w:rsidR="008C34CE">
        <w:t xml:space="preserve"> that ERCOT's </w:t>
      </w:r>
      <w:r w:rsidR="008C34CE">
        <w:t>Compliance</w:t>
      </w:r>
      <w:r w:rsidR="008C34CE">
        <w:t xml:space="preserve"> </w:t>
      </w:r>
      <w:r w:rsidR="008C34CE">
        <w:t>F</w:t>
      </w:r>
      <w:r w:rsidR="008C34CE">
        <w:t xml:space="preserve">iling and the </w:t>
      </w:r>
      <w:r w:rsidR="008C34CE">
        <w:t>revised default charges</w:t>
      </w:r>
      <w:r w:rsidR="008C34CE">
        <w:t xml:space="preserve"> </w:t>
      </w:r>
      <w:r w:rsidR="008C34CE">
        <w:t>contain</w:t>
      </w:r>
      <w:r w:rsidR="008C34CE">
        <w:t>ed therein be found in compliance with PURA and the relevant provisions of</w:t>
      </w:r>
      <w:r w:rsidR="008C34CE">
        <w:t xml:space="preserve"> </w:t>
      </w:r>
      <w:r w:rsidR="008C34CE">
        <w:t>the Debt Obligation Order</w:t>
      </w:r>
      <w:r w:rsidR="008C34CE">
        <w:t>.</w:t>
      </w:r>
    </w:p>
    <w:p w14:paraId="41A6EDC9" w14:textId="35D411BC" w:rsidR="008A0B4A" w:rsidRDefault="00141EDF">
      <w:pPr>
        <w:pStyle w:val="BodyText"/>
        <w:spacing w:before="113" w:line="376" w:lineRule="auto"/>
        <w:ind w:left="118" w:right="223" w:firstLine="727"/>
        <w:jc w:val="both"/>
      </w:pPr>
      <w:r>
        <w:rPr>
          <w:w w:val="105"/>
        </w:rPr>
        <w:t xml:space="preserve">Consistent with Staff’s recommendation, ERCOT’s Compliance Filing is found to be sufficient, complete, and in compliance with PURA and the relevant provisions of the Debt Obligation Order.  </w:t>
      </w:r>
      <w:r w:rsidR="008A0B4A">
        <w:rPr>
          <w:w w:val="105"/>
        </w:rPr>
        <w:t>ERCOT's</w:t>
      </w:r>
      <w:r w:rsidR="00E2385C">
        <w:rPr>
          <w:w w:val="105"/>
        </w:rPr>
        <w:t xml:space="preserve"> proposed</w:t>
      </w:r>
      <w:r w:rsidR="008A0B4A">
        <w:rPr>
          <w:w w:val="105"/>
        </w:rPr>
        <w:t xml:space="preserve"> default charges</w:t>
      </w:r>
      <w:r>
        <w:rPr>
          <w:w w:val="105"/>
        </w:rPr>
        <w:t xml:space="preserve"> are approved, as filed, with an</w:t>
      </w:r>
      <w:r w:rsidR="00E2385C">
        <w:rPr>
          <w:w w:val="105"/>
        </w:rPr>
        <w:t xml:space="preserve"> effective </w:t>
      </w:r>
      <w:r>
        <w:rPr>
          <w:w w:val="105"/>
        </w:rPr>
        <w:t xml:space="preserve">date of </w:t>
      </w:r>
      <w:r w:rsidR="008A0B4A">
        <w:rPr>
          <w:w w:val="105"/>
        </w:rPr>
        <w:t>July 1</w:t>
      </w:r>
      <w:r w:rsidR="00E2385C">
        <w:rPr>
          <w:w w:val="105"/>
        </w:rPr>
        <w:t>, 2022.</w:t>
      </w:r>
      <w:r w:rsidR="00E2385C">
        <w:rPr>
          <w:spacing w:val="1"/>
          <w:w w:val="105"/>
        </w:rPr>
        <w:t xml:space="preserve"> </w:t>
      </w:r>
    </w:p>
    <w:p w14:paraId="4CEBB7F8" w14:textId="77777777" w:rsidR="0062098F" w:rsidRDefault="0062098F">
      <w:pPr>
        <w:rPr>
          <w:b/>
          <w:w w:val="105"/>
          <w:sz w:val="23"/>
        </w:rPr>
      </w:pPr>
      <w:r>
        <w:rPr>
          <w:b/>
          <w:w w:val="105"/>
          <w:sz w:val="23"/>
        </w:rPr>
        <w:br w:type="page"/>
      </w:r>
    </w:p>
    <w:p w14:paraId="3BFCFCF4" w14:textId="6BF9101A" w:rsidR="00B95F50" w:rsidRDefault="00E2385C">
      <w:pPr>
        <w:spacing w:before="121"/>
        <w:ind w:left="845"/>
        <w:jc w:val="both"/>
        <w:rPr>
          <w:b/>
          <w:sz w:val="23"/>
        </w:rPr>
      </w:pPr>
      <w:r>
        <w:rPr>
          <w:b/>
          <w:w w:val="105"/>
          <w:sz w:val="23"/>
        </w:rPr>
        <w:lastRenderedPageBreak/>
        <w:t>Signed</w:t>
      </w:r>
      <w:r>
        <w:rPr>
          <w:b/>
          <w:spacing w:val="-5"/>
          <w:w w:val="105"/>
          <w:sz w:val="23"/>
        </w:rPr>
        <w:t xml:space="preserve"> </w:t>
      </w:r>
      <w:r>
        <w:rPr>
          <w:b/>
          <w:w w:val="105"/>
          <w:sz w:val="23"/>
        </w:rPr>
        <w:t>at</w:t>
      </w:r>
      <w:r>
        <w:rPr>
          <w:b/>
          <w:spacing w:val="-8"/>
          <w:w w:val="105"/>
          <w:sz w:val="23"/>
        </w:rPr>
        <w:t xml:space="preserve"> </w:t>
      </w:r>
      <w:r>
        <w:rPr>
          <w:b/>
          <w:w w:val="105"/>
          <w:sz w:val="23"/>
        </w:rPr>
        <w:t>Austin,</w:t>
      </w:r>
      <w:r>
        <w:rPr>
          <w:b/>
          <w:spacing w:val="-1"/>
          <w:w w:val="105"/>
          <w:sz w:val="23"/>
        </w:rPr>
        <w:t xml:space="preserve"> </w:t>
      </w:r>
      <w:r>
        <w:rPr>
          <w:b/>
          <w:w w:val="105"/>
          <w:sz w:val="23"/>
        </w:rPr>
        <w:t>Texas</w:t>
      </w:r>
      <w:r>
        <w:rPr>
          <w:b/>
          <w:spacing w:val="-4"/>
          <w:w w:val="105"/>
          <w:sz w:val="23"/>
        </w:rPr>
        <w:t xml:space="preserve"> </w:t>
      </w:r>
      <w:r>
        <w:rPr>
          <w:b/>
          <w:w w:val="105"/>
          <w:sz w:val="23"/>
        </w:rPr>
        <w:t>the</w:t>
      </w:r>
      <w:r>
        <w:rPr>
          <w:b/>
          <w:spacing w:val="-9"/>
          <w:w w:val="105"/>
          <w:sz w:val="23"/>
        </w:rPr>
        <w:t xml:space="preserve"> </w:t>
      </w:r>
      <w:r w:rsidR="008A0B4A">
        <w:rPr>
          <w:b/>
          <w:w w:val="105"/>
          <w:sz w:val="23"/>
        </w:rPr>
        <w:t xml:space="preserve">___  </w:t>
      </w:r>
      <w:r>
        <w:rPr>
          <w:b/>
          <w:w w:val="105"/>
          <w:sz w:val="23"/>
        </w:rPr>
        <w:t>day</w:t>
      </w:r>
      <w:r>
        <w:rPr>
          <w:b/>
          <w:spacing w:val="-6"/>
          <w:w w:val="105"/>
          <w:sz w:val="23"/>
        </w:rPr>
        <w:t xml:space="preserve"> </w:t>
      </w:r>
      <w:r>
        <w:rPr>
          <w:b/>
          <w:w w:val="105"/>
          <w:sz w:val="23"/>
        </w:rPr>
        <w:t>of</w:t>
      </w:r>
      <w:r>
        <w:rPr>
          <w:b/>
          <w:spacing w:val="-12"/>
          <w:w w:val="105"/>
          <w:sz w:val="23"/>
        </w:rPr>
        <w:t xml:space="preserve"> </w:t>
      </w:r>
      <w:r w:rsidR="008A0B4A">
        <w:rPr>
          <w:b/>
          <w:w w:val="105"/>
          <w:sz w:val="23"/>
        </w:rPr>
        <w:t>May</w:t>
      </w:r>
      <w:r>
        <w:rPr>
          <w:b/>
          <w:spacing w:val="5"/>
          <w:w w:val="105"/>
          <w:sz w:val="23"/>
        </w:rPr>
        <w:t xml:space="preserve"> </w:t>
      </w:r>
      <w:r>
        <w:rPr>
          <w:b/>
          <w:w w:val="105"/>
          <w:sz w:val="23"/>
        </w:rPr>
        <w:t>2022.</w:t>
      </w:r>
    </w:p>
    <w:p w14:paraId="7380FAAC" w14:textId="77777777" w:rsidR="00B95F50" w:rsidRDefault="00B95F50">
      <w:pPr>
        <w:ind w:left="122"/>
        <w:rPr>
          <w:sz w:val="15"/>
        </w:rPr>
      </w:pPr>
    </w:p>
    <w:p w14:paraId="361D971D" w14:textId="77777777" w:rsidR="008A0B4A" w:rsidRDefault="008A0B4A" w:rsidP="008A0B4A">
      <w:pPr>
        <w:pStyle w:val="Heading1"/>
        <w:spacing w:line="249" w:lineRule="auto"/>
        <w:ind w:left="4463" w:hanging="2"/>
      </w:pPr>
    </w:p>
    <w:p w14:paraId="283B0C7A" w14:textId="77777777" w:rsidR="008A0B4A" w:rsidRDefault="008A0B4A" w:rsidP="008A0B4A">
      <w:pPr>
        <w:pStyle w:val="Heading1"/>
        <w:spacing w:line="249" w:lineRule="auto"/>
        <w:ind w:left="4463" w:hanging="2"/>
      </w:pPr>
    </w:p>
    <w:p w14:paraId="7C5A6F18" w14:textId="77777777" w:rsidR="008A0B4A" w:rsidRDefault="008A0B4A" w:rsidP="008A0B4A">
      <w:pPr>
        <w:pStyle w:val="Heading1"/>
        <w:spacing w:line="249" w:lineRule="auto"/>
        <w:ind w:left="4463" w:hanging="2"/>
      </w:pPr>
      <w:r>
        <w:t>PUBLIC</w:t>
      </w:r>
      <w:r>
        <w:rPr>
          <w:spacing w:val="40"/>
        </w:rPr>
        <w:t xml:space="preserve"> </w:t>
      </w:r>
      <w:r>
        <w:t>UTILITY</w:t>
      </w:r>
      <w:r>
        <w:rPr>
          <w:spacing w:val="3"/>
        </w:rPr>
        <w:t xml:space="preserve"> </w:t>
      </w:r>
      <w:r>
        <w:t>COMMISSION</w:t>
      </w:r>
      <w:r>
        <w:rPr>
          <w:spacing w:val="4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TEXAS</w:t>
      </w:r>
      <w:r>
        <w:rPr>
          <w:spacing w:val="-55"/>
        </w:rPr>
        <w:t xml:space="preserve"> </w:t>
      </w:r>
    </w:p>
    <w:p w14:paraId="3464F690" w14:textId="77777777" w:rsidR="008A0B4A" w:rsidRDefault="008A0B4A" w:rsidP="008A0B4A">
      <w:pPr>
        <w:pStyle w:val="BodyText"/>
        <w:spacing w:before="10"/>
        <w:rPr>
          <w:b/>
        </w:rPr>
      </w:pPr>
    </w:p>
    <w:p w14:paraId="2053BC1E" w14:textId="77777777" w:rsidR="008A0B4A" w:rsidRDefault="008A0B4A" w:rsidP="008A0B4A">
      <w:pPr>
        <w:pStyle w:val="BodyText"/>
        <w:rPr>
          <w:sz w:val="26"/>
        </w:rPr>
      </w:pPr>
    </w:p>
    <w:p w14:paraId="4764A184" w14:textId="77777777" w:rsidR="008A0B4A" w:rsidRDefault="008A0B4A" w:rsidP="008A0B4A">
      <w:pPr>
        <w:pStyle w:val="BodyText"/>
        <w:spacing w:before="7"/>
        <w:rPr>
          <w:sz w:val="22"/>
        </w:rPr>
      </w:pPr>
    </w:p>
    <w:p w14:paraId="7A951DE4" w14:textId="77777777" w:rsidR="008A0B4A" w:rsidRDefault="008A0B4A" w:rsidP="008A0B4A">
      <w:pPr>
        <w:pStyle w:val="BodyText"/>
        <w:tabs>
          <w:tab w:val="left" w:pos="7304"/>
        </w:tabs>
        <w:spacing w:line="249" w:lineRule="auto"/>
        <w:ind w:left="4460" w:right="2614" w:firstLine="3"/>
      </w:pPr>
      <w:r>
        <w:rPr>
          <w:w w:val="105"/>
          <w:u w:val="single"/>
        </w:rPr>
        <w:t>/s/</w:t>
      </w:r>
      <w:r>
        <w:rPr>
          <w:u w:val="single"/>
        </w:rPr>
        <w:tab/>
      </w:r>
      <w:r>
        <w:t xml:space="preserve"> </w:t>
      </w:r>
    </w:p>
    <w:p w14:paraId="45A8A4F8" w14:textId="77777777" w:rsidR="008A0B4A" w:rsidRDefault="008A0B4A" w:rsidP="008A0B4A">
      <w:pPr>
        <w:pStyle w:val="BodyText"/>
        <w:spacing w:before="8"/>
        <w:rPr>
          <w:sz w:val="24"/>
        </w:rPr>
      </w:pPr>
    </w:p>
    <w:p w14:paraId="71CDA2B8" w14:textId="77777777" w:rsidR="00B95F50" w:rsidRDefault="00B95F50">
      <w:pPr>
        <w:pStyle w:val="BodyText"/>
        <w:rPr>
          <w:sz w:val="20"/>
        </w:rPr>
      </w:pPr>
    </w:p>
    <w:sectPr w:rsidR="00B95F50" w:rsidSect="008A0B4A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BCE3D" w14:textId="77777777" w:rsidR="007F4B2E" w:rsidRDefault="007F4B2E" w:rsidP="007F4B2E">
      <w:r>
        <w:separator/>
      </w:r>
    </w:p>
  </w:endnote>
  <w:endnote w:type="continuationSeparator" w:id="0">
    <w:p w14:paraId="0CFBDAE8" w14:textId="77777777" w:rsidR="007F4B2E" w:rsidRDefault="007F4B2E" w:rsidP="007F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86ADF" w14:textId="77777777" w:rsidR="007F4B2E" w:rsidRDefault="007F4B2E" w:rsidP="007F4B2E">
      <w:r>
        <w:separator/>
      </w:r>
    </w:p>
  </w:footnote>
  <w:footnote w:type="continuationSeparator" w:id="0">
    <w:p w14:paraId="76D3C848" w14:textId="77777777" w:rsidR="007F4B2E" w:rsidRDefault="007F4B2E" w:rsidP="007F4B2E">
      <w:r>
        <w:continuationSeparator/>
      </w:r>
    </w:p>
  </w:footnote>
  <w:footnote w:id="1">
    <w:p w14:paraId="598E8814" w14:textId="559C65C5" w:rsidR="008A0B4A" w:rsidRDefault="008A0B4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Application of the Electric Reliability Council of Texas, Inc. for a Debt Obligation Order Pursuant to Chapter 39, Subchapter M, of the Public Utility Regulatory Act</w:t>
      </w:r>
      <w:r>
        <w:t xml:space="preserve">, </w:t>
      </w:r>
      <w:r w:rsidRPr="00ED6035">
        <w:t>Docket No. 52321, Debt Obligation Order</w:t>
      </w:r>
      <w:r>
        <w:t xml:space="preserve"> </w:t>
      </w:r>
      <w:r w:rsidRPr="00ED6035">
        <w:t>(Nov. 14, 2021)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95F50"/>
    <w:rsid w:val="00141EDF"/>
    <w:rsid w:val="0062098F"/>
    <w:rsid w:val="0068358A"/>
    <w:rsid w:val="007F4B2E"/>
    <w:rsid w:val="008A0B4A"/>
    <w:rsid w:val="008C34CE"/>
    <w:rsid w:val="00B95F50"/>
    <w:rsid w:val="00BC3C2D"/>
    <w:rsid w:val="00E2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9647D"/>
  <w15:docId w15:val="{A3F9EF76-DBE5-4B8C-B406-06C767C3B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8A0B4A"/>
    <w:pPr>
      <w:ind w:left="228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line="307" w:lineRule="exact"/>
      <w:ind w:left="4419"/>
    </w:pPr>
    <w:rPr>
      <w:i/>
      <w:iCs/>
      <w:sz w:val="58"/>
      <w:szCs w:val="5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F4B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B2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F4B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B2E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A0B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0B4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0B4A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8A0B4A"/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6CF97E76ACE1499DF8744740EDBBC2" ma:contentTypeVersion="11" ma:contentTypeDescription="Create a new document." ma:contentTypeScope="" ma:versionID="92e75e67d2c37c7dc7f43b8b4055e93c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4" targetNamespace="http://schemas.microsoft.com/office/2006/metadata/properties" ma:root="true" ma:fieldsID="eb4dad4b98fcac8c67ab5cbaac4683dd" ns1:_="" ns2:_="">
    <xsd:import namespace="http://schemas.microsoft.com/sharepoint/v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EmailHeaders" minOccurs="0"/>
                <xsd:element ref="ns2:IconOverlay" minOccurs="0"/>
                <xsd:element ref="ns1:_vti_ItemDeclaredRecord" minOccurs="0"/>
                <xsd:element ref="ns1:_vti_ItemHoldRecord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  <xsd:element name="_vti_ItemDeclaredRecord" ma:index="15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16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3" nillable="true" ma:displayName="E-Mail Headers" ma:hidden="true" ma:internalName="EmailHeaders">
      <xsd:simpleType>
        <xsd:restriction base="dms:Note"/>
      </xsd:simpleType>
    </xsd:element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27667AA-9805-4B70-8216-3CD0B3CB0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F8D2CF-388B-4042-92F8-71C82F395446}"/>
</file>

<file path=customXml/itemProps3.xml><?xml version="1.0" encoding="utf-8"?>
<ds:datastoreItem xmlns:ds="http://schemas.openxmlformats.org/officeDocument/2006/customXml" ds:itemID="{755A073A-8DA6-4F71-99BC-3A63F7495253}"/>
</file>

<file path=customXml/itemProps4.xml><?xml version="1.0" encoding="utf-8"?>
<ds:datastoreItem xmlns:ds="http://schemas.openxmlformats.org/officeDocument/2006/customXml" ds:itemID="{B9F07DEC-C5FD-42FC-A0CA-2123FF8653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Dwyer, Davida</cp:lastModifiedBy>
  <cp:revision>3</cp:revision>
  <dcterms:created xsi:type="dcterms:W3CDTF">2022-05-19T19:33:00Z</dcterms:created>
  <dcterms:modified xsi:type="dcterms:W3CDTF">2022-05-19T19:47:00Z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2022-04-27T00:00:00Z</vt:filetime>
  </property>
  <property fmtid="{D5CDD505-2E9C-101B-9397-08002B2CF9AE}" pid="3" name="Creator">
    <vt:lpwstr>OpenText Capture Recognition Engine (RecoStar) 7.8.0</vt:lpwstr>
  </property>
  <property fmtid="{D5CDD505-2E9C-101B-9397-08002B2CF9AE}" pid="4" name="LastSaved">
    <vt:filetime>2022-05-17T00:00:00Z</vt:filetime>
  </property>
  <property fmtid="{D5CDD505-2E9C-101B-9397-08002B2CF9AE}" pid="5" name="ContentTypeId">
    <vt:lpwstr>0x010100156CF97E76ACE1499DF8744740EDBBC2</vt:lpwstr>
  </property>
</Properties>
</file>